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331" w:rsidRPr="00CB722D" w:rsidRDefault="00E30331" w:rsidP="00E30331">
      <w:pPr>
        <w:tabs>
          <w:tab w:val="right" w:pos="9355"/>
        </w:tabs>
        <w:spacing w:after="0" w:line="240" w:lineRule="atLeast"/>
        <w:ind w:firstLine="357"/>
        <w:jc w:val="right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</w:p>
    <w:p w:rsidR="00E30331" w:rsidRDefault="00E30331" w:rsidP="00E30331">
      <w:pPr>
        <w:tabs>
          <w:tab w:val="right" w:pos="9355"/>
        </w:tabs>
        <w:spacing w:after="0" w:line="240" w:lineRule="atLeast"/>
        <w:ind w:firstLine="357"/>
        <w:jc w:val="right"/>
      </w:pPr>
      <w:r w:rsidRPr="00CB722D">
        <w:rPr>
          <w:rFonts w:ascii="Times New Roman" w:hAnsi="Times New Roman" w:cs="Times New Roman"/>
        </w:rPr>
        <w:t>к Техническому заданию</w:t>
      </w:r>
      <w:r>
        <w:t xml:space="preserve"> </w:t>
      </w:r>
    </w:p>
    <w:p w:rsidR="00797AC0" w:rsidRDefault="00797AC0" w:rsidP="00E30331">
      <w:pPr>
        <w:rPr>
          <w:rFonts w:ascii="Times New Roman" w:hAnsi="Times New Roman" w:cs="Times New Roman"/>
          <w:b/>
        </w:rPr>
      </w:pPr>
    </w:p>
    <w:p w:rsidR="00E30331" w:rsidRDefault="00E30331" w:rsidP="00E30331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ТЕСТОВОЕ ЗАДАНИЕ участникам ОЗП</w:t>
      </w:r>
    </w:p>
    <w:p w:rsidR="00E30331" w:rsidRPr="00F73BDA" w:rsidRDefault="00E30331" w:rsidP="00E30331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Представленная информация подготовлена с использованием данных, доступных ОАО «ТГК-1» (далее – «ТГК-1» или Компания) на момент ее составления. С момента составления презентации на деятельность «ТГК-1» и содержание презентации могли повлиять внешние или иные факторы. Кроме того, настоящая презентация может не включать в себя всю необходимую информацию о Компании. «ТГК-1» не дает, прямо или косвенно, никаких заверений или гарантий в отношении точности, полноты или достоверности информации, содержащейся в настоящей презентации.</w:t>
      </w:r>
    </w:p>
    <w:p w:rsidR="00E30331" w:rsidRPr="00F73BDA" w:rsidRDefault="00E30331" w:rsidP="00E30331">
      <w:pPr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Прогнозные заявления, содержащиеся в настоящей презентации, основаны на ряде предположений, которые могут оказаться неверными. Прогнозные заявления, в силу своей специфики, связаны с неотъемлемым риском и неопределенностью. «ТГК-1» предупреждает о том, что фактические результаты могут существенно отличаться от выраженных, прямо или косвенно, в прогнозных заявлениях. Для более подробной информации об основных рисках необходимо обратиться к последнему Годовому отчету «ТГК-1».</w:t>
      </w:r>
    </w:p>
    <w:p w:rsidR="00E30331" w:rsidRPr="00F73BDA" w:rsidRDefault="00E30331" w:rsidP="00E30331">
      <w:pPr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 xml:space="preserve">Настоящая презентация не представляет собой и не является частью рекламы ценных бумаг, предложения или приглашения </w:t>
      </w:r>
      <w:proofErr w:type="gramStart"/>
      <w:r w:rsidRPr="00F73BDA">
        <w:rPr>
          <w:rFonts w:ascii="Times New Roman" w:hAnsi="Times New Roman" w:cs="Times New Roman"/>
        </w:rPr>
        <w:t>продать</w:t>
      </w:r>
      <w:proofErr w:type="gramEnd"/>
      <w:r w:rsidRPr="00F73BDA">
        <w:rPr>
          <w:rFonts w:ascii="Times New Roman" w:hAnsi="Times New Roman" w:cs="Times New Roman"/>
        </w:rPr>
        <w:t xml:space="preserve"> или выпустить или предложения купить или подписаться на какие-либо акции «ТГК-1». Ни настоящая презентация, ни ее часть, ни факт представления настоящей презентации или ее распространения не являются основой для какого-либо контракта или инвестиционного решения и не должны приниматься во внимание при заключении какого-либо контракта или принятии инвестиционного решения.</w:t>
      </w:r>
    </w:p>
    <w:p w:rsidR="00C306AB" w:rsidRDefault="00C306AB" w:rsidP="004913F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656" w:rsidRPr="00C306AB" w:rsidRDefault="00C306AB" w:rsidP="004913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6AB">
        <w:rPr>
          <w:rFonts w:ascii="Times New Roman" w:hAnsi="Times New Roman" w:cs="Times New Roman"/>
          <w:b/>
          <w:sz w:val="24"/>
          <w:szCs w:val="24"/>
        </w:rPr>
        <w:t>Южная ТЭЦ-22</w:t>
      </w:r>
    </w:p>
    <w:p w:rsidR="00E30331" w:rsidRDefault="00E30331" w:rsidP="004913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2252" w:rsidRDefault="00301656" w:rsidP="004913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331">
        <w:rPr>
          <w:rFonts w:ascii="Times New Roman" w:hAnsi="Times New Roman" w:cs="Times New Roman"/>
          <w:bCs/>
          <w:sz w:val="24"/>
          <w:szCs w:val="24"/>
        </w:rPr>
        <w:t>Ц</w:t>
      </w:r>
      <w:r w:rsidR="004913FA" w:rsidRPr="004913FA">
        <w:rPr>
          <w:rFonts w:ascii="Times New Roman" w:hAnsi="Times New Roman" w:cs="Times New Roman"/>
          <w:sz w:val="24"/>
          <w:szCs w:val="24"/>
        </w:rPr>
        <w:t>елью проекта реконс</w:t>
      </w:r>
      <w:r w:rsidRPr="004913FA">
        <w:rPr>
          <w:rFonts w:ascii="Times New Roman" w:hAnsi="Times New Roman" w:cs="Times New Roman"/>
          <w:sz w:val="24"/>
          <w:szCs w:val="24"/>
        </w:rPr>
        <w:t xml:space="preserve">трукции </w:t>
      </w:r>
      <w:r w:rsidR="00E30331">
        <w:rPr>
          <w:rFonts w:ascii="Times New Roman" w:hAnsi="Times New Roman" w:cs="Times New Roman"/>
          <w:sz w:val="24"/>
          <w:szCs w:val="24"/>
        </w:rPr>
        <w:t>Южной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ТЭЦ</w:t>
      </w:r>
      <w:r w:rsidR="00E30331">
        <w:rPr>
          <w:rFonts w:ascii="Times New Roman" w:hAnsi="Times New Roman" w:cs="Times New Roman"/>
          <w:sz w:val="24"/>
          <w:szCs w:val="24"/>
        </w:rPr>
        <w:t>-22</w:t>
      </w:r>
      <w:r w:rsidR="00C30DD4" w:rsidRPr="00C30DD4">
        <w:rPr>
          <w:rFonts w:ascii="Times New Roman" w:hAnsi="Times New Roman" w:cs="Times New Roman"/>
          <w:sz w:val="24"/>
          <w:szCs w:val="24"/>
        </w:rPr>
        <w:t xml:space="preserve"> </w:t>
      </w:r>
      <w:r w:rsidR="00C30DD4">
        <w:rPr>
          <w:rFonts w:ascii="Times New Roman" w:hAnsi="Times New Roman" w:cs="Times New Roman"/>
          <w:sz w:val="24"/>
          <w:szCs w:val="24"/>
        </w:rPr>
        <w:t>ОАО «ТГК-1»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стал вывод из эксплуатации существующего мо</w:t>
      </w:r>
      <w:r w:rsidRPr="004913FA">
        <w:rPr>
          <w:rFonts w:ascii="Times New Roman" w:hAnsi="Times New Roman" w:cs="Times New Roman"/>
          <w:sz w:val="24"/>
          <w:szCs w:val="24"/>
        </w:rPr>
        <w:t>рально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и физически устаревшего</w:t>
      </w:r>
      <w:r w:rsidR="00C30DD4">
        <w:rPr>
          <w:rFonts w:ascii="Times New Roman" w:hAnsi="Times New Roman" w:cs="Times New Roman"/>
          <w:sz w:val="24"/>
          <w:szCs w:val="24"/>
        </w:rPr>
        <w:t>, а также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экономически неэф</w:t>
      </w:r>
      <w:r w:rsidRPr="004913FA">
        <w:rPr>
          <w:rFonts w:ascii="Times New Roman" w:hAnsi="Times New Roman" w:cs="Times New Roman"/>
          <w:sz w:val="24"/>
          <w:szCs w:val="24"/>
        </w:rPr>
        <w:t>фективного оборудования, за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счет строительства новой теплоэлектроцентрали с примене</w:t>
      </w:r>
      <w:r w:rsidRPr="004913FA">
        <w:rPr>
          <w:rFonts w:ascii="Times New Roman" w:hAnsi="Times New Roman" w:cs="Times New Roman"/>
          <w:sz w:val="24"/>
          <w:szCs w:val="24"/>
        </w:rPr>
        <w:t>нием парогазовых технологий.</w:t>
      </w:r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Состав генерирующего оборудования во многом определялся пропускной способностью уже существующих линий электропередач 110 </w:t>
      </w:r>
      <w:proofErr w:type="spellStart"/>
      <w:r w:rsidR="004913FA" w:rsidRPr="004913FA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="004913FA" w:rsidRPr="004913FA">
        <w:rPr>
          <w:rFonts w:ascii="Times New Roman" w:hAnsi="Times New Roman" w:cs="Times New Roman"/>
          <w:sz w:val="24"/>
          <w:szCs w:val="24"/>
        </w:rPr>
        <w:t xml:space="preserve"> В случае установки генераторов с большей единичной мощностью потребовалось бы развернуть дорогостоящее масштабное </w:t>
      </w:r>
      <w:proofErr w:type="spellStart"/>
      <w:r w:rsidR="004913FA" w:rsidRPr="004913FA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="004913FA" w:rsidRPr="004913FA">
        <w:rPr>
          <w:rFonts w:ascii="Times New Roman" w:hAnsi="Times New Roman" w:cs="Times New Roman"/>
          <w:sz w:val="24"/>
          <w:szCs w:val="24"/>
        </w:rPr>
        <w:t xml:space="preserve"> строительство. Взамен существующей прямоточной системы технического водоснабжения, находящейся в достаточно изношенном состоянии, для новой станции принята закрыта система с использованием «сухих» </w:t>
      </w:r>
      <w:proofErr w:type="spellStart"/>
      <w:r w:rsidR="004913FA" w:rsidRPr="004913FA">
        <w:rPr>
          <w:rFonts w:ascii="Times New Roman" w:hAnsi="Times New Roman" w:cs="Times New Roman"/>
          <w:sz w:val="24"/>
          <w:szCs w:val="24"/>
        </w:rPr>
        <w:t>вентиляторных</w:t>
      </w:r>
      <w:proofErr w:type="spellEnd"/>
      <w:r w:rsidR="004913FA" w:rsidRPr="004913FA">
        <w:rPr>
          <w:rFonts w:ascii="Times New Roman" w:hAnsi="Times New Roman" w:cs="Times New Roman"/>
          <w:sz w:val="24"/>
          <w:szCs w:val="24"/>
        </w:rPr>
        <w:t xml:space="preserve"> градирен системы Геллера. Выбор в их пользу был сделан из-за плотного размещения вновь возводимых объектов на территории станции, не позволявшего построить привычную для нас башенную градирню. В составе новой ТЭЦ предусмотрено строительство </w:t>
      </w:r>
      <w:proofErr w:type="spellStart"/>
      <w:r w:rsidR="004913FA" w:rsidRPr="004913FA">
        <w:rPr>
          <w:rFonts w:ascii="Times New Roman" w:hAnsi="Times New Roman" w:cs="Times New Roman"/>
          <w:sz w:val="24"/>
          <w:szCs w:val="24"/>
        </w:rPr>
        <w:t>общестанционных</w:t>
      </w:r>
      <w:proofErr w:type="spellEnd"/>
      <w:r w:rsidR="004913FA" w:rsidRPr="004913FA">
        <w:rPr>
          <w:rFonts w:ascii="Times New Roman" w:hAnsi="Times New Roman" w:cs="Times New Roman"/>
          <w:sz w:val="24"/>
          <w:szCs w:val="24"/>
        </w:rPr>
        <w:t xml:space="preserve"> очистных сооружений с разделением системы канализации производственно-бытовых стоков, дождевых стоков и стоков, за</w:t>
      </w:r>
      <w:r w:rsidR="00E30331">
        <w:rPr>
          <w:rFonts w:ascii="Times New Roman" w:hAnsi="Times New Roman" w:cs="Times New Roman"/>
          <w:sz w:val="24"/>
          <w:szCs w:val="24"/>
        </w:rPr>
        <w:t xml:space="preserve">грязненных нефтепродуктами. 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 xml:space="preserve">В ходе строительства четвертого энергоблока </w:t>
      </w:r>
      <w:r w:rsidR="00E30331">
        <w:rPr>
          <w:rFonts w:ascii="Times New Roman" w:hAnsi="Times New Roman" w:cs="Times New Roman"/>
          <w:sz w:val="24"/>
          <w:szCs w:val="24"/>
        </w:rPr>
        <w:t>Южной</w:t>
      </w:r>
      <w:r w:rsidR="00E30331" w:rsidRPr="004913FA">
        <w:rPr>
          <w:rFonts w:ascii="Times New Roman" w:hAnsi="Times New Roman" w:cs="Times New Roman"/>
          <w:sz w:val="24"/>
          <w:szCs w:val="24"/>
        </w:rPr>
        <w:t xml:space="preserve"> ТЭЦ</w:t>
      </w:r>
      <w:r w:rsidR="00E30331">
        <w:rPr>
          <w:rFonts w:ascii="Times New Roman" w:hAnsi="Times New Roman" w:cs="Times New Roman"/>
          <w:sz w:val="24"/>
          <w:szCs w:val="24"/>
        </w:rPr>
        <w:t>-22</w:t>
      </w:r>
      <w:r w:rsidR="00E30331" w:rsidRPr="00C30DD4">
        <w:rPr>
          <w:rFonts w:ascii="Times New Roman" w:hAnsi="Times New Roman" w:cs="Times New Roman"/>
          <w:sz w:val="24"/>
          <w:szCs w:val="24"/>
        </w:rPr>
        <w:t xml:space="preserve"> 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>заканчивается монтаж наклонной колоннады новой гра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дирни. На 72% выполнены строительно-монтажные ра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боты по установке металлоконструкций главного корпуса энергоблока. Полностью выполнена силовая плита дожим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ной компрессорной станции – здесь сейчас завершается заливка фундаментов под основное оборудование.</w:t>
      </w:r>
      <w:r w:rsidR="00C30DD4" w:rsidRPr="00C30D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>В рамках строитель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ства второй очереди </w:t>
      </w:r>
      <w:r w:rsidR="00C30DD4">
        <w:rPr>
          <w:rFonts w:ascii="Times New Roman" w:hAnsi="Times New Roman" w:cs="Times New Roman"/>
          <w:color w:val="000000"/>
          <w:sz w:val="24"/>
          <w:szCs w:val="24"/>
        </w:rPr>
        <w:t xml:space="preserve">станции 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>завершены работы по возведению фундамен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та турбоагрегата №1. В настоящее время ведется монтаж метал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локонструкций КРУЭ 110 кВ</w:t>
      </w:r>
      <w:r w:rsidR="00C30DD4" w:rsidRPr="00C30D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DD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>продолжа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ется монтаж котлов утилизаторов и сухих градирен системы Гел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лера</w:t>
      </w:r>
      <w:r w:rsidR="00C30DD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30DD4" w:rsidRPr="00C30DD4">
        <w:rPr>
          <w:rFonts w:ascii="Times New Roman" w:hAnsi="Times New Roman" w:cs="Times New Roman"/>
          <w:sz w:val="24"/>
          <w:szCs w:val="24"/>
        </w:rPr>
        <w:t xml:space="preserve"> </w:t>
      </w:r>
      <w:r w:rsidR="00C30DD4" w:rsidRPr="004913FA">
        <w:rPr>
          <w:rFonts w:ascii="Times New Roman" w:hAnsi="Times New Roman" w:cs="Times New Roman"/>
          <w:sz w:val="24"/>
          <w:szCs w:val="24"/>
        </w:rPr>
        <w:t>идет подготовка к установке КВОУ (комплектного воздухоочистительного устройства), поставлены конденсатор и сетевые подогреватели паровой турбины энергоблока №1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t>. Кроме того, в ско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ром времени планиру</w:t>
      </w:r>
      <w:r w:rsidR="00C30DD4" w:rsidRPr="004913FA">
        <w:rPr>
          <w:rFonts w:ascii="Times New Roman" w:hAnsi="Times New Roman" w:cs="Times New Roman"/>
          <w:color w:val="000000"/>
          <w:sz w:val="24"/>
          <w:szCs w:val="24"/>
        </w:rPr>
        <w:softHyphen/>
        <w:t>ется начать работы по установке и монтажу статора генератора паровой турбины № 1</w:t>
      </w:r>
      <w:r w:rsidR="00E3033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30331" w:rsidRPr="00E30331">
        <w:rPr>
          <w:rFonts w:ascii="Times New Roman" w:hAnsi="Times New Roman" w:cs="Times New Roman"/>
          <w:sz w:val="24"/>
          <w:szCs w:val="24"/>
        </w:rPr>
        <w:t xml:space="preserve"> </w:t>
      </w:r>
      <w:r w:rsidR="00E30331" w:rsidRPr="004913FA">
        <w:rPr>
          <w:rFonts w:ascii="Times New Roman" w:hAnsi="Times New Roman" w:cs="Times New Roman"/>
          <w:sz w:val="24"/>
          <w:szCs w:val="24"/>
        </w:rPr>
        <w:t>Тем временем</w:t>
      </w:r>
      <w:r w:rsidR="00C30DD4" w:rsidRPr="004913FA">
        <w:rPr>
          <w:rFonts w:ascii="Times New Roman" w:hAnsi="Times New Roman" w:cs="Times New Roman"/>
          <w:sz w:val="24"/>
          <w:szCs w:val="24"/>
        </w:rPr>
        <w:t xml:space="preserve">, на станцию доставлена вторая </w:t>
      </w:r>
      <w:proofErr w:type="gramStart"/>
      <w:r w:rsidR="00C30DD4" w:rsidRPr="004913FA">
        <w:rPr>
          <w:rFonts w:ascii="Times New Roman" w:hAnsi="Times New Roman" w:cs="Times New Roman"/>
          <w:sz w:val="24"/>
          <w:szCs w:val="24"/>
        </w:rPr>
        <w:t xml:space="preserve">газовая </w:t>
      </w:r>
      <w:r w:rsidR="00E30331">
        <w:rPr>
          <w:rFonts w:ascii="Times New Roman" w:hAnsi="Times New Roman" w:cs="Times New Roman"/>
          <w:sz w:val="24"/>
          <w:szCs w:val="24"/>
        </w:rPr>
        <w:t xml:space="preserve"> </w:t>
      </w:r>
      <w:r w:rsidR="00C30DD4" w:rsidRPr="004913FA">
        <w:rPr>
          <w:rFonts w:ascii="Times New Roman" w:hAnsi="Times New Roman" w:cs="Times New Roman"/>
          <w:sz w:val="24"/>
          <w:szCs w:val="24"/>
        </w:rPr>
        <w:t>турбина</w:t>
      </w:r>
      <w:proofErr w:type="gramEnd"/>
      <w:r w:rsidR="00C30DD4" w:rsidRPr="004913FA">
        <w:rPr>
          <w:rFonts w:ascii="Times New Roman" w:hAnsi="Times New Roman" w:cs="Times New Roman"/>
          <w:sz w:val="24"/>
          <w:szCs w:val="24"/>
        </w:rPr>
        <w:t>.</w:t>
      </w:r>
      <w:r w:rsidR="00C30DD4" w:rsidRPr="00C30DD4">
        <w:rPr>
          <w:rFonts w:ascii="Times New Roman" w:hAnsi="Times New Roman" w:cs="Times New Roman"/>
          <w:sz w:val="24"/>
          <w:szCs w:val="24"/>
        </w:rPr>
        <w:t xml:space="preserve"> </w:t>
      </w:r>
      <w:r w:rsidR="00C30DD4" w:rsidRPr="004913FA">
        <w:rPr>
          <w:rFonts w:ascii="Times New Roman" w:hAnsi="Times New Roman" w:cs="Times New Roman"/>
          <w:sz w:val="24"/>
          <w:szCs w:val="24"/>
        </w:rPr>
        <w:t xml:space="preserve">Все это говорит о том, что </w:t>
      </w:r>
      <w:r w:rsidR="00E30331">
        <w:rPr>
          <w:rFonts w:ascii="Times New Roman" w:hAnsi="Times New Roman" w:cs="Times New Roman"/>
          <w:sz w:val="24"/>
          <w:szCs w:val="24"/>
        </w:rPr>
        <w:t>работа станции</w:t>
      </w:r>
      <w:r w:rsidR="00C30DD4" w:rsidRPr="004913FA">
        <w:rPr>
          <w:rFonts w:ascii="Times New Roman" w:hAnsi="Times New Roman" w:cs="Times New Roman"/>
          <w:sz w:val="24"/>
          <w:szCs w:val="24"/>
        </w:rPr>
        <w:t xml:space="preserve"> будут соответствовать всем мировым стандартам по надежности, экономичности и экологической безопасности.</w:t>
      </w:r>
    </w:p>
    <w:p w:rsidR="006F26E2" w:rsidRDefault="0026402D" w:rsidP="006F26E2">
      <w:pPr>
        <w:rPr>
          <w:rFonts w:ascii="Times New Roman" w:hAnsi="Times New Roman" w:cs="Times New Roman"/>
          <w:b/>
          <w:sz w:val="24"/>
          <w:szCs w:val="24"/>
        </w:rPr>
      </w:pPr>
      <w:r w:rsidRPr="00E3033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705AFEAE" wp14:editId="6DE9440E">
            <wp:simplePos x="0" y="0"/>
            <wp:positionH relativeFrom="page">
              <wp:posOffset>778213</wp:posOffset>
            </wp:positionH>
            <wp:positionV relativeFrom="paragraph">
              <wp:posOffset>361626</wp:posOffset>
            </wp:positionV>
            <wp:extent cx="6448425" cy="3659829"/>
            <wp:effectExtent l="0" t="0" r="9525" b="1714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0331" w:rsidRPr="00E30331">
        <w:rPr>
          <w:noProof/>
          <w:lang w:eastAsia="ru-RU"/>
        </w:rPr>
        <w:t xml:space="preserve"> </w:t>
      </w:r>
      <w:r w:rsidR="006F26E2" w:rsidRPr="006F26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Рис</w:t>
      </w:r>
      <w:r w:rsidR="006F26E2" w:rsidRPr="006F26E2">
        <w:rPr>
          <w:rFonts w:ascii="Times New Roman" w:hAnsi="Times New Roman" w:cs="Times New Roman"/>
          <w:b/>
          <w:sz w:val="24"/>
          <w:szCs w:val="24"/>
        </w:rPr>
        <w:t>.</w:t>
      </w:r>
      <w:r w:rsidR="006F26E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F26E2" w:rsidRPr="006F26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6E2">
        <w:rPr>
          <w:rFonts w:ascii="Times New Roman" w:hAnsi="Times New Roman" w:cs="Times New Roman"/>
          <w:b/>
          <w:sz w:val="24"/>
          <w:szCs w:val="24"/>
        </w:rPr>
        <w:t>Факт распределения затрат</w:t>
      </w:r>
    </w:p>
    <w:p w:rsidR="006F26E2" w:rsidRPr="006F26E2" w:rsidRDefault="006F26E2" w:rsidP="006F26E2">
      <w:pPr>
        <w:rPr>
          <w:rFonts w:ascii="Times New Roman" w:hAnsi="Times New Roman" w:cs="Times New Roman"/>
          <w:b/>
          <w:sz w:val="24"/>
          <w:szCs w:val="24"/>
        </w:rPr>
      </w:pPr>
      <w:r w:rsidRPr="006F26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Pr="006F26E2" w:rsidRDefault="006F26E2" w:rsidP="006F26E2">
      <w:pPr>
        <w:rPr>
          <w:rFonts w:ascii="Times New Roman" w:hAnsi="Times New Roman" w:cs="Times New Roman"/>
          <w:sz w:val="24"/>
          <w:szCs w:val="24"/>
        </w:rPr>
      </w:pPr>
    </w:p>
    <w:p w:rsidR="006F26E2" w:rsidRDefault="006F26E2" w:rsidP="006F26E2">
      <w:pPr>
        <w:rPr>
          <w:rFonts w:ascii="Times New Roman" w:hAnsi="Times New Roman" w:cs="Times New Roman"/>
          <w:b/>
          <w:sz w:val="24"/>
          <w:szCs w:val="24"/>
        </w:rPr>
      </w:pPr>
    </w:p>
    <w:p w:rsidR="006F26E2" w:rsidRDefault="006F26E2" w:rsidP="006F26E2">
      <w:pPr>
        <w:rPr>
          <w:rFonts w:ascii="Times New Roman" w:hAnsi="Times New Roman" w:cs="Times New Roman"/>
          <w:b/>
          <w:sz w:val="24"/>
          <w:szCs w:val="24"/>
        </w:rPr>
      </w:pPr>
      <w:r w:rsidRPr="006F26E2">
        <w:rPr>
          <w:rFonts w:ascii="Times New Roman" w:hAnsi="Times New Roman" w:cs="Times New Roman"/>
          <w:b/>
          <w:sz w:val="24"/>
          <w:szCs w:val="24"/>
        </w:rPr>
        <w:t>Табл.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6E2">
        <w:rPr>
          <w:rFonts w:ascii="Times New Roman" w:hAnsi="Times New Roman" w:cs="Times New Roman"/>
          <w:b/>
          <w:sz w:val="24"/>
          <w:szCs w:val="24"/>
        </w:rPr>
        <w:t xml:space="preserve">2 Оптимизация производственной деятельности </w:t>
      </w:r>
    </w:p>
    <w:p w:rsidR="0026402D" w:rsidRPr="006F26E2" w:rsidRDefault="0026402D" w:rsidP="006F26E2">
      <w:pPr>
        <w:rPr>
          <w:rFonts w:ascii="Times New Roman" w:hAnsi="Times New Roman" w:cs="Times New Roman"/>
          <w:b/>
          <w:sz w:val="24"/>
          <w:szCs w:val="24"/>
        </w:rPr>
      </w:pPr>
    </w:p>
    <w:p w:rsidR="006F3E12" w:rsidRDefault="006F3E12" w:rsidP="006F26E2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  <w:r w:rsidRPr="006F26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4F7DB6" wp14:editId="17966A9D">
            <wp:extent cx="4493411" cy="3495933"/>
            <wp:effectExtent l="0" t="0" r="2540" b="9525"/>
            <wp:docPr id="350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21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029" cy="352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F26E2">
        <w:rPr>
          <w:rFonts w:ascii="Times New Roman" w:hAnsi="Times New Roman" w:cs="Times New Roman"/>
          <w:sz w:val="24"/>
          <w:szCs w:val="24"/>
        </w:rPr>
        <w:tab/>
      </w:r>
    </w:p>
    <w:p w:rsidR="006F3E12" w:rsidRDefault="006F3E12" w:rsidP="006F3E12"/>
    <w:p w:rsidR="006F3E12" w:rsidRDefault="006F3E12" w:rsidP="006F3E1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6F3E12" w:rsidRDefault="006F3E12" w:rsidP="006F3E12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(подпись, М.П.)</w:t>
      </w:r>
    </w:p>
    <w:p w:rsidR="006F3E12" w:rsidRDefault="006F3E12" w:rsidP="006F3E1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E30331" w:rsidRPr="006F3E12" w:rsidRDefault="006F3E12" w:rsidP="006F3E12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(фамилия, имя, отчество подписавшего, должность)</w:t>
      </w:r>
    </w:p>
    <w:sectPr w:rsidR="00E30331" w:rsidRPr="006F3E12" w:rsidSect="0026402D">
      <w:footerReference w:type="default" r:id="rId8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E12" w:rsidRDefault="006F3E12" w:rsidP="006F3E12">
      <w:pPr>
        <w:spacing w:after="0" w:line="240" w:lineRule="auto"/>
      </w:pPr>
      <w:r>
        <w:separator/>
      </w:r>
    </w:p>
  </w:endnote>
  <w:endnote w:type="continuationSeparator" w:id="0">
    <w:p w:rsidR="006F3E12" w:rsidRDefault="006F3E12" w:rsidP="006F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E12" w:rsidRDefault="006F3E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E12" w:rsidRDefault="006F3E12" w:rsidP="006F3E12">
      <w:pPr>
        <w:spacing w:after="0" w:line="240" w:lineRule="auto"/>
      </w:pPr>
      <w:r>
        <w:separator/>
      </w:r>
    </w:p>
  </w:footnote>
  <w:footnote w:type="continuationSeparator" w:id="0">
    <w:p w:rsidR="006F3E12" w:rsidRDefault="006F3E12" w:rsidP="006F3E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723"/>
    <w:rsid w:val="00092252"/>
    <w:rsid w:val="0026402D"/>
    <w:rsid w:val="002F1A82"/>
    <w:rsid w:val="00301656"/>
    <w:rsid w:val="004913FA"/>
    <w:rsid w:val="00644723"/>
    <w:rsid w:val="006F26E2"/>
    <w:rsid w:val="006F3E12"/>
    <w:rsid w:val="00797AC0"/>
    <w:rsid w:val="00A31054"/>
    <w:rsid w:val="00B438DE"/>
    <w:rsid w:val="00C306AB"/>
    <w:rsid w:val="00C30DD4"/>
    <w:rsid w:val="00DC19EE"/>
    <w:rsid w:val="00E30331"/>
    <w:rsid w:val="00EB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1F38FEE-57CF-4EAC-B2BA-2B38BB7B5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4">
    <w:name w:val="Pa3+4"/>
    <w:basedOn w:val="a"/>
    <w:next w:val="a"/>
    <w:uiPriority w:val="99"/>
    <w:rsid w:val="00092252"/>
    <w:pPr>
      <w:autoSpaceDE w:val="0"/>
      <w:autoSpaceDN w:val="0"/>
      <w:adjustRightInd w:val="0"/>
      <w:spacing w:after="0" w:line="1001" w:lineRule="atLeast"/>
    </w:pPr>
    <w:rPr>
      <w:rFonts w:ascii="Impact" w:hAnsi="Impact"/>
      <w:sz w:val="24"/>
      <w:szCs w:val="24"/>
    </w:rPr>
  </w:style>
  <w:style w:type="character" w:customStyle="1" w:styleId="A22">
    <w:name w:val="A2+2"/>
    <w:uiPriority w:val="99"/>
    <w:rsid w:val="00092252"/>
    <w:rPr>
      <w:rFonts w:cs="Impact"/>
      <w:color w:val="000000"/>
      <w:sz w:val="52"/>
      <w:szCs w:val="52"/>
    </w:rPr>
  </w:style>
  <w:style w:type="paragraph" w:customStyle="1" w:styleId="Pa24">
    <w:name w:val="Pa2+4"/>
    <w:basedOn w:val="a"/>
    <w:next w:val="a"/>
    <w:uiPriority w:val="99"/>
    <w:rsid w:val="00092252"/>
    <w:pPr>
      <w:autoSpaceDE w:val="0"/>
      <w:autoSpaceDN w:val="0"/>
      <w:adjustRightInd w:val="0"/>
      <w:spacing w:after="0" w:line="181" w:lineRule="atLeast"/>
    </w:pPr>
    <w:rPr>
      <w:rFonts w:ascii="Impact" w:hAnsi="Impact"/>
      <w:sz w:val="24"/>
      <w:szCs w:val="24"/>
    </w:rPr>
  </w:style>
  <w:style w:type="paragraph" w:customStyle="1" w:styleId="Pa1">
    <w:name w:val="Pa1"/>
    <w:basedOn w:val="a"/>
    <w:next w:val="a"/>
    <w:uiPriority w:val="99"/>
    <w:rsid w:val="00092252"/>
    <w:pPr>
      <w:autoSpaceDE w:val="0"/>
      <w:autoSpaceDN w:val="0"/>
      <w:adjustRightInd w:val="0"/>
      <w:spacing w:after="0" w:line="201" w:lineRule="atLeast"/>
    </w:pPr>
    <w:rPr>
      <w:rFonts w:ascii="Times New Roman CYR" w:hAnsi="Times New Roman CYR" w:cs="Times New Roman CYR"/>
      <w:sz w:val="24"/>
      <w:szCs w:val="24"/>
    </w:rPr>
  </w:style>
  <w:style w:type="paragraph" w:styleId="a3">
    <w:name w:val="caption"/>
    <w:basedOn w:val="a"/>
    <w:next w:val="a"/>
    <w:uiPriority w:val="35"/>
    <w:unhideWhenUsed/>
    <w:qFormat/>
    <w:rsid w:val="002F1A8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6F3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3E12"/>
  </w:style>
  <w:style w:type="paragraph" w:styleId="a6">
    <w:name w:val="footer"/>
    <w:basedOn w:val="a"/>
    <w:link w:val="a7"/>
    <w:uiPriority w:val="99"/>
    <w:unhideWhenUsed/>
    <w:rsid w:val="006F3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3E12"/>
  </w:style>
  <w:style w:type="paragraph" w:styleId="a8">
    <w:name w:val="Balloon Text"/>
    <w:basedOn w:val="a"/>
    <w:link w:val="a9"/>
    <w:uiPriority w:val="99"/>
    <w:semiHidden/>
    <w:unhideWhenUsed/>
    <w:rsid w:val="00264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4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2597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 sz="1800" dirty="0" smtClean="0"/>
              <a:t>Факт распределения затрат</a:t>
            </a:r>
          </a:p>
        </c:rich>
      </c:tx>
      <c:layout>
        <c:manualLayout>
          <c:xMode val="edge"/>
          <c:yMode val="edge"/>
          <c:x val="0.26932902220309612"/>
          <c:y val="3.4358010878666974E-2"/>
        </c:manualLayout>
      </c:layout>
      <c:overlay val="0"/>
    </c:title>
    <c:autoTitleDeleted val="0"/>
    <c:view3D>
      <c:rotX val="40"/>
      <c:rotY val="1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214664821254802E-2"/>
          <c:y val="0.26545584441234926"/>
          <c:w val="0.89419586953403352"/>
          <c:h val="0.7345442007416633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месяцев 2015 г.
факт
297 592,08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explosion val="25"/>
          <c:dPt>
            <c:idx val="0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dPt>
            <c:idx val="3"/>
            <c:bubble3D val="0"/>
            <c:spPr>
              <a:solidFill>
                <a:srgbClr val="00B0F0"/>
              </a:solidFill>
            </c:spPr>
          </c:dPt>
          <c:dPt>
            <c:idx val="4"/>
            <c:bubble3D val="0"/>
            <c:spPr>
              <a:solidFill>
                <a:srgbClr val="9900FF"/>
              </a:solidFill>
            </c:spPr>
          </c:dPt>
          <c:dPt>
            <c:idx val="5"/>
            <c:bubble3D val="0"/>
            <c:spPr>
              <a:solidFill>
                <a:srgbClr val="FFC000"/>
              </a:solidFill>
            </c:spPr>
          </c:dPt>
          <c:dPt>
            <c:idx val="6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7"/>
            <c:bubble3D val="0"/>
            <c:spPr>
              <a:solidFill>
                <a:srgbClr val="FFFF66"/>
              </a:solidFill>
            </c:spPr>
          </c:dPt>
          <c:dLbls>
            <c:dLbl>
              <c:idx val="0"/>
              <c:layout>
                <c:manualLayout>
                  <c:x val="3.849873324445139E-2"/>
                  <c:y val="1.9916457251354221E-2"/>
                </c:manualLayout>
              </c:layout>
              <c:tx>
                <c:rich>
                  <a:bodyPr/>
                  <a:lstStyle/>
                  <a:p>
                    <a:fld id="{2722ED8F-6071-4711-B85B-6794E5521995}" type="CATEGORYNAME">
                      <a:rPr lang="ru-RU"/>
                      <a:pPr/>
                      <a:t>[ИМЯ КАТЕГОРИИ]</a:t>
                    </a:fld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4362657091561939E-2"/>
                  <c:y val="6.9949856267966501E-2"/>
                </c:manualLayout>
              </c:layout>
              <c:tx>
                <c:rich>
                  <a:bodyPr/>
                  <a:lstStyle/>
                  <a:p>
                    <a:fld id="{92EA8BD5-C927-4CD3-A0A2-609C9B68B645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40659323788366913"/>
                  <c:y val="-0.3530491932476269"/>
                </c:manualLayout>
              </c:layout>
              <c:tx>
                <c:rich>
                  <a:bodyPr/>
                  <a:lstStyle/>
                  <a:p>
                    <a:fld id="{11E12484-F5B8-4BBE-9C8B-AA3B162FF91A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2.6822733334275765E-2"/>
                  <c:y val="-3.7633295838020247E-3"/>
                </c:manualLayout>
              </c:layout>
              <c:tx>
                <c:rich>
                  <a:bodyPr/>
                  <a:lstStyle/>
                  <a:p>
                    <a:fld id="{1A94BCCD-1047-47E9-A17F-621B3FEC6CB4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2.3518909673792936E-2"/>
                  <c:y val="-4.1470000572856047E-2"/>
                </c:manualLayout>
              </c:layout>
              <c:tx>
                <c:rich>
                  <a:bodyPr/>
                  <a:lstStyle/>
                  <a:p>
                    <a:fld id="{A6CBFA50-5D55-42E5-9F7D-88305632CADB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0.12936187432690341"/>
                  <c:y val="-4.1625800045481297E-2"/>
                </c:manualLayout>
              </c:layout>
              <c:tx>
                <c:rich>
                  <a:bodyPr/>
                  <a:lstStyle/>
                  <a:p>
                    <a:fld id="{B371C574-0759-4E45-A41E-DA6D379D4688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7.6258759984958471E-2"/>
                  <c:y val="3.2389396055570174E-3"/>
                </c:manualLayout>
              </c:layout>
              <c:tx>
                <c:rich>
                  <a:bodyPr/>
                  <a:lstStyle/>
                  <a:p>
                    <a:fld id="{9BEEC9B9-9EB8-4B96-93C9-85663FCC1E43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6.1499519506516026E-2"/>
                  <c:y val="2.5972241901638871E-2"/>
                </c:manualLayout>
              </c:layout>
              <c:tx>
                <c:rich>
                  <a:bodyPr/>
                  <a:lstStyle/>
                  <a:p>
                    <a:fld id="{81A05A75-160E-4C91-9517-B84AD718FD5A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0.15285338666074141"/>
                  <c:y val="-5.6340190596106614E-2"/>
                </c:manualLayout>
              </c:layout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Затраты на оплату труда</c:v>
                </c:pt>
                <c:pt idx="1">
                  <c:v>Ремонты</c:v>
                </c:pt>
                <c:pt idx="2">
                  <c:v>Амортизация</c:v>
                </c:pt>
                <c:pt idx="3">
                  <c:v>Электроэнергия </c:v>
                </c:pt>
                <c:pt idx="4">
                  <c:v>Аренда</c:v>
                </c:pt>
                <c:pt idx="5">
                  <c:v>Покупка потерь т/э в сетях</c:v>
                </c:pt>
                <c:pt idx="6">
                  <c:v>Прочие</c:v>
                </c:pt>
                <c:pt idx="7">
                  <c:v>Страховые взносы</c:v>
                </c:pt>
              </c:strCache>
            </c:strRef>
          </c:cat>
          <c:val>
            <c:numRef>
              <c:f>Лист1!$B$2:$B$9</c:f>
              <c:numCache>
                <c:formatCode>#,##0.00</c:formatCode>
                <c:ptCount val="8"/>
                <c:pt idx="0">
                  <c:v>32443.63</c:v>
                </c:pt>
                <c:pt idx="1">
                  <c:v>15279.58</c:v>
                </c:pt>
                <c:pt idx="2">
                  <c:v>198479.67</c:v>
                </c:pt>
                <c:pt idx="3">
                  <c:v>10179.08</c:v>
                </c:pt>
                <c:pt idx="4">
                  <c:v>2872.81</c:v>
                </c:pt>
                <c:pt idx="5">
                  <c:v>11987.75</c:v>
                </c:pt>
                <c:pt idx="6">
                  <c:v>17255.68</c:v>
                </c:pt>
                <c:pt idx="7">
                  <c:v>9093.8799999999992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74">
          <a:noFill/>
        </a:ln>
      </c:spPr>
    </c:plotArea>
    <c:plotVisOnly val="1"/>
    <c:dispBlanksAs val="zero"/>
    <c:showDLblsOverMax val="0"/>
  </c:chart>
  <c:txPr>
    <a:bodyPr/>
    <a:lstStyle/>
    <a:p>
      <a:pPr>
        <a:defRPr sz="1798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Явашева Лола Стояновна</dc:creator>
  <cp:keywords/>
  <dc:description/>
  <cp:lastModifiedBy>Мусатова Светлана Николаевна</cp:lastModifiedBy>
  <cp:revision>5</cp:revision>
  <cp:lastPrinted>2015-11-24T13:00:00Z</cp:lastPrinted>
  <dcterms:created xsi:type="dcterms:W3CDTF">2015-11-24T10:15:00Z</dcterms:created>
  <dcterms:modified xsi:type="dcterms:W3CDTF">2015-11-30T13:43:00Z</dcterms:modified>
</cp:coreProperties>
</file>